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9291" w14:textId="672C0DED" w:rsidR="00DA203B" w:rsidRPr="005F5266" w:rsidRDefault="009C1000" w:rsidP="00394239">
      <w:pPr>
        <w:jc w:val="both"/>
        <w:rPr>
          <w:b/>
          <w:bCs/>
          <w:lang w:val="et-EE"/>
        </w:rPr>
      </w:pPr>
      <w:r w:rsidRPr="005F5266">
        <w:rPr>
          <w:b/>
          <w:bCs/>
          <w:lang w:val="et-EE"/>
        </w:rPr>
        <w:t xml:space="preserve">Taotlus </w:t>
      </w:r>
      <w:r w:rsidR="005F5266" w:rsidRPr="005F5266">
        <w:rPr>
          <w:b/>
          <w:bCs/>
          <w:lang w:val="et-EE"/>
        </w:rPr>
        <w:t>valikpakkumises</w:t>
      </w:r>
      <w:r w:rsidRPr="005F5266">
        <w:rPr>
          <w:b/>
          <w:bCs/>
          <w:lang w:val="et-EE"/>
        </w:rPr>
        <w:t xml:space="preserve"> osalemiseks</w:t>
      </w:r>
    </w:p>
    <w:p w14:paraId="421091AF" w14:textId="77777777" w:rsidR="009C1000" w:rsidRPr="005F5266" w:rsidRDefault="009C1000" w:rsidP="00394239">
      <w:pPr>
        <w:jc w:val="both"/>
        <w:rPr>
          <w:b/>
          <w:bCs/>
          <w:lang w:val="et-EE"/>
        </w:rPr>
      </w:pPr>
    </w:p>
    <w:p w14:paraId="0DCC2033" w14:textId="3ECA4FA0" w:rsidR="00806E65" w:rsidRPr="005F5266" w:rsidRDefault="005830B0" w:rsidP="00394239">
      <w:pPr>
        <w:jc w:val="both"/>
        <w:rPr>
          <w:b/>
          <w:bCs/>
          <w:lang w:val="et-EE"/>
        </w:rPr>
      </w:pPr>
      <w:r w:rsidRPr="005F5266">
        <w:rPr>
          <w:b/>
          <w:bCs/>
          <w:lang w:val="et-EE"/>
        </w:rPr>
        <w:t xml:space="preserve">Taotleja: </w:t>
      </w:r>
    </w:p>
    <w:p w14:paraId="67907E6C" w14:textId="2A240105" w:rsidR="00806E65" w:rsidRPr="005F5266" w:rsidRDefault="005F5266" w:rsidP="00394239">
      <w:pPr>
        <w:jc w:val="both"/>
        <w:rPr>
          <w:lang w:val="et-EE"/>
        </w:rPr>
      </w:pPr>
      <w:r w:rsidRPr="005F5266">
        <w:rPr>
          <w:lang w:val="et-EE"/>
        </w:rPr>
        <w:t>Äri</w:t>
      </w:r>
      <w:r w:rsidR="005830B0" w:rsidRPr="005F5266">
        <w:rPr>
          <w:lang w:val="et-EE"/>
        </w:rPr>
        <w:t xml:space="preserve">nimi: </w:t>
      </w:r>
    </w:p>
    <w:p w14:paraId="42A7898D" w14:textId="1AFB3ED8" w:rsidR="00806E65" w:rsidRPr="005F5266" w:rsidRDefault="00806E65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Registrikood: </w:t>
      </w:r>
    </w:p>
    <w:p w14:paraId="7006A66B" w14:textId="316D138C" w:rsidR="00806E65" w:rsidRPr="005F5266" w:rsidRDefault="00806E65" w:rsidP="00394239">
      <w:pPr>
        <w:jc w:val="both"/>
        <w:rPr>
          <w:lang w:val="et-EE"/>
        </w:rPr>
      </w:pPr>
      <w:r w:rsidRPr="005F5266">
        <w:rPr>
          <w:lang w:val="et-EE"/>
        </w:rPr>
        <w:t>Aadress:</w:t>
      </w:r>
    </w:p>
    <w:p w14:paraId="7D69A125" w14:textId="77777777" w:rsidR="000374A6" w:rsidRPr="005F5266" w:rsidRDefault="000374A6" w:rsidP="00394239">
      <w:pPr>
        <w:jc w:val="both"/>
        <w:rPr>
          <w:lang w:val="et-EE"/>
        </w:rPr>
      </w:pPr>
    </w:p>
    <w:p w14:paraId="3822701B" w14:textId="330E35F6" w:rsidR="00806E65" w:rsidRPr="005F5266" w:rsidRDefault="00806E65" w:rsidP="00394239">
      <w:pPr>
        <w:jc w:val="both"/>
        <w:rPr>
          <w:b/>
          <w:bCs/>
          <w:lang w:val="et-EE"/>
        </w:rPr>
      </w:pPr>
      <w:r w:rsidRPr="005F5266">
        <w:rPr>
          <w:b/>
          <w:bCs/>
          <w:lang w:val="et-EE"/>
        </w:rPr>
        <w:t>Taotleja esindaja:</w:t>
      </w:r>
    </w:p>
    <w:p w14:paraId="2EC8A07B" w14:textId="57043297" w:rsidR="00806E65" w:rsidRPr="005F5266" w:rsidRDefault="00806E65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Täisnimi: </w:t>
      </w:r>
    </w:p>
    <w:p w14:paraId="363753E5" w14:textId="50C2DC30" w:rsidR="00806E65" w:rsidRPr="005F5266" w:rsidRDefault="00806E65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ID: </w:t>
      </w:r>
    </w:p>
    <w:p w14:paraId="755BE6D3" w14:textId="13CA47E3" w:rsidR="00806E65" w:rsidRPr="005F5266" w:rsidRDefault="00806E65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Roll organisatsioonis: </w:t>
      </w:r>
    </w:p>
    <w:p w14:paraId="5E58BD9E" w14:textId="1B7CD609" w:rsidR="000374A6" w:rsidRPr="005F5266" w:rsidRDefault="000374A6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E-post: </w:t>
      </w:r>
    </w:p>
    <w:p w14:paraId="6D4D3BB9" w14:textId="0355E85D" w:rsidR="000374A6" w:rsidRPr="005F5266" w:rsidRDefault="000374A6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Mobiiltelefon: </w:t>
      </w:r>
    </w:p>
    <w:p w14:paraId="6EE9F64E" w14:textId="77777777" w:rsidR="00806E65" w:rsidRPr="005F5266" w:rsidRDefault="00806E65" w:rsidP="00394239">
      <w:pPr>
        <w:jc w:val="both"/>
        <w:rPr>
          <w:lang w:val="et-EE"/>
        </w:rPr>
      </w:pPr>
    </w:p>
    <w:p w14:paraId="797D6756" w14:textId="59171305" w:rsidR="00806E65" w:rsidRPr="005F5266" w:rsidRDefault="005830B0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Kinnitan </w:t>
      </w:r>
      <w:r w:rsidR="005F5266" w:rsidRPr="005F5266">
        <w:rPr>
          <w:lang w:val="et-EE"/>
        </w:rPr>
        <w:t>T</w:t>
      </w:r>
      <w:r w:rsidRPr="005F5266">
        <w:rPr>
          <w:lang w:val="et-EE"/>
        </w:rPr>
        <w:t xml:space="preserve">aotleja nimel, et: </w:t>
      </w:r>
    </w:p>
    <w:p w14:paraId="4E4B0DC5" w14:textId="5EF3EB78" w:rsidR="000374A6" w:rsidRPr="005F5266" w:rsidRDefault="0153A968" w:rsidP="00394239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t-EE"/>
        </w:rPr>
      </w:pPr>
      <w:r w:rsidRPr="005F5266">
        <w:rPr>
          <w:lang w:val="et-EE"/>
        </w:rPr>
        <w:t xml:space="preserve">Taotlejal on võimekus investeerida vähemalt 50 miljonit eurot. </w:t>
      </w:r>
    </w:p>
    <w:p w14:paraId="03992F74" w14:textId="7918B7A2" w:rsidR="00806E65" w:rsidRPr="005F5266" w:rsidRDefault="50A65200" w:rsidP="00394239">
      <w:pPr>
        <w:pStyle w:val="ListParagraph"/>
        <w:numPr>
          <w:ilvl w:val="0"/>
          <w:numId w:val="4"/>
        </w:numPr>
        <w:jc w:val="both"/>
        <w:rPr>
          <w:lang w:val="et-EE"/>
        </w:rPr>
      </w:pPr>
      <w:bookmarkStart w:id="0" w:name="_Ref227311577"/>
      <w:r w:rsidRPr="005F5266">
        <w:rPr>
          <w:lang w:val="et-EE"/>
        </w:rPr>
        <w:t xml:space="preserve">Taotlejal on pädevus vähemalt ühes alljärgnevatest tegevusvaldkondadest. Kohaldatavad pädevusvaldkonnad on märgitud allolevas tabelis </w:t>
      </w:r>
      <w:bookmarkEnd w:id="0"/>
      <w:r w:rsidR="00806E65" w:rsidRPr="005F5266">
        <w:rPr>
          <w:lang w:val="et-EE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79"/>
        <w:gridCol w:w="3071"/>
      </w:tblGrid>
      <w:tr w:rsidR="00F21CAF" w:rsidRPr="005F5266" w14:paraId="3625CD9C" w14:textId="76EF128F" w:rsidTr="00394239">
        <w:tc>
          <w:tcPr>
            <w:tcW w:w="3358" w:type="pct"/>
          </w:tcPr>
          <w:p w14:paraId="2A10EAA8" w14:textId="16CAE751" w:rsidR="00F21CAF" w:rsidRPr="005F5266" w:rsidRDefault="005F5266" w:rsidP="00394239">
            <w:pPr>
              <w:pStyle w:val="ListParagraph"/>
              <w:ind w:left="0"/>
              <w:jc w:val="both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>Valdkond</w:t>
            </w:r>
          </w:p>
        </w:tc>
        <w:tc>
          <w:tcPr>
            <w:tcW w:w="1642" w:type="pct"/>
          </w:tcPr>
          <w:p w14:paraId="660703B3" w14:textId="6BB9F99D" w:rsidR="00F21CAF" w:rsidRPr="005F5266" w:rsidRDefault="00F21CAF" w:rsidP="00394239">
            <w:pPr>
              <w:pStyle w:val="ListParagraph"/>
              <w:ind w:left="0"/>
              <w:jc w:val="both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>Pädevus (Jah/Ei)</w:t>
            </w:r>
          </w:p>
        </w:tc>
      </w:tr>
      <w:tr w:rsidR="00F21CAF" w:rsidRPr="005F5266" w14:paraId="6AAA394B" w14:textId="613E550E" w:rsidTr="00394239">
        <w:tc>
          <w:tcPr>
            <w:tcW w:w="3358" w:type="pct"/>
          </w:tcPr>
          <w:p w14:paraId="634D9C82" w14:textId="4964053F" w:rsidR="00F21CAF" w:rsidRPr="005F5266" w:rsidRDefault="00F21CAF" w:rsidP="003942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lang w:val="et-EE"/>
              </w:rPr>
            </w:pPr>
            <w:r w:rsidRPr="005F5266">
              <w:rPr>
                <w:rStyle w:val="normaltextrun"/>
                <w:rFonts w:asciiTheme="minorHAnsi" w:hAnsiTheme="minorHAnsi"/>
                <w:lang w:val="et-EE"/>
              </w:rPr>
              <w:t xml:space="preserve">Sõjaliste lõhkeainete tootmine ja müük, sealhulgas, kuid mitte ainult, RDX, HMX, TNT ja teiste </w:t>
            </w:r>
            <w:r w:rsidR="005F5266" w:rsidRPr="005F5266">
              <w:rPr>
                <w:rStyle w:val="normaltextrun"/>
                <w:rFonts w:asciiTheme="minorHAnsi" w:hAnsiTheme="minorHAnsi"/>
                <w:lang w:val="et-EE"/>
              </w:rPr>
              <w:t>s</w:t>
            </w:r>
            <w:r w:rsidR="005F5266" w:rsidRPr="005F5266">
              <w:rPr>
                <w:rStyle w:val="normaltextrun"/>
                <w:lang w:val="et-EE"/>
              </w:rPr>
              <w:t>arnased</w:t>
            </w:r>
            <w:r w:rsidRPr="005F5266">
              <w:rPr>
                <w:rStyle w:val="normaltextrun"/>
                <w:rFonts w:asciiTheme="minorHAnsi" w:hAnsiTheme="minorHAnsi"/>
                <w:lang w:val="et-EE"/>
              </w:rPr>
              <w:t xml:space="preserve"> sõjalis</w:t>
            </w:r>
            <w:r w:rsidR="005F5266" w:rsidRPr="005F5266">
              <w:rPr>
                <w:rStyle w:val="normaltextrun"/>
                <w:rFonts w:asciiTheme="minorHAnsi" w:hAnsiTheme="minorHAnsi"/>
                <w:lang w:val="et-EE"/>
              </w:rPr>
              <w:t>ed</w:t>
            </w:r>
            <w:r w:rsidRPr="005F5266">
              <w:rPr>
                <w:rStyle w:val="normaltextrun"/>
                <w:rFonts w:asciiTheme="minorHAnsi" w:hAnsiTheme="minorHAnsi"/>
                <w:lang w:val="et-EE"/>
              </w:rPr>
              <w:t xml:space="preserve"> lõhkeaine</w:t>
            </w:r>
            <w:r w:rsidR="005F5266" w:rsidRPr="005F5266">
              <w:rPr>
                <w:rStyle w:val="normaltextrun"/>
                <w:rFonts w:asciiTheme="minorHAnsi" w:hAnsiTheme="minorHAnsi"/>
                <w:lang w:val="et-EE"/>
              </w:rPr>
              <w:t>d</w:t>
            </w:r>
          </w:p>
        </w:tc>
        <w:tc>
          <w:tcPr>
            <w:tcW w:w="1642" w:type="pct"/>
          </w:tcPr>
          <w:p w14:paraId="337A01F7" w14:textId="77777777" w:rsidR="00F21CAF" w:rsidRPr="005F5266" w:rsidRDefault="00F21CAF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</w:tr>
      <w:tr w:rsidR="00F21CAF" w:rsidRPr="005F5266" w14:paraId="4F871D01" w14:textId="71A0983E" w:rsidTr="00394239">
        <w:tc>
          <w:tcPr>
            <w:tcW w:w="3358" w:type="pct"/>
          </w:tcPr>
          <w:p w14:paraId="1F64E6E9" w14:textId="790AC87B" w:rsidR="00F21CAF" w:rsidRPr="005F5266" w:rsidRDefault="00F21CAF" w:rsidP="00394239">
            <w:pPr>
              <w:pStyle w:val="ListParagraph"/>
              <w:ind w:left="0"/>
              <w:jc w:val="both"/>
              <w:rPr>
                <w:lang w:val="et-EE"/>
              </w:rPr>
            </w:pPr>
            <w:r w:rsidRPr="005F5266">
              <w:rPr>
                <w:rStyle w:val="normaltextrun"/>
                <w:lang w:val="et-EE"/>
              </w:rPr>
              <w:t>Sõjalise laskemoona tootmine ja müük, sealhulgas, kuid mitte ainult, keskmi</w:t>
            </w:r>
            <w:r w:rsidR="005F5266" w:rsidRPr="005F5266">
              <w:rPr>
                <w:rStyle w:val="normaltextrun"/>
                <w:lang w:val="et-EE"/>
              </w:rPr>
              <w:t>n</w:t>
            </w:r>
            <w:r w:rsidRPr="005F5266">
              <w:rPr>
                <w:rStyle w:val="normaltextrun"/>
                <w:lang w:val="et-EE"/>
              </w:rPr>
              <w:t>e ja suurekaliibr</w:t>
            </w:r>
            <w:r w:rsidR="005F5266" w:rsidRPr="005F5266">
              <w:rPr>
                <w:rStyle w:val="normaltextrun"/>
                <w:lang w:val="et-EE"/>
              </w:rPr>
              <w:t>iline</w:t>
            </w:r>
            <w:r w:rsidRPr="005F5266">
              <w:rPr>
                <w:rStyle w:val="normaltextrun"/>
                <w:lang w:val="et-EE"/>
              </w:rPr>
              <w:t xml:space="preserve"> laskemoon, raket</w:t>
            </w:r>
            <w:r w:rsidR="005F5266" w:rsidRPr="005F5266">
              <w:rPr>
                <w:rStyle w:val="normaltextrun"/>
                <w:lang w:val="et-EE"/>
              </w:rPr>
              <w:t>id</w:t>
            </w:r>
            <w:r w:rsidRPr="005F5266">
              <w:rPr>
                <w:rStyle w:val="normaltextrun"/>
                <w:lang w:val="et-EE"/>
              </w:rPr>
              <w:t>, miinid, lõhkepead ja muu sarna</w:t>
            </w:r>
            <w:r w:rsidR="005F5266" w:rsidRPr="005F5266">
              <w:rPr>
                <w:rStyle w:val="normaltextrun"/>
                <w:lang w:val="et-EE"/>
              </w:rPr>
              <w:t>ne</w:t>
            </w:r>
            <w:r w:rsidRPr="005F5266">
              <w:rPr>
                <w:rStyle w:val="normaltextrun"/>
                <w:lang w:val="et-EE"/>
              </w:rPr>
              <w:t xml:space="preserve"> laskemoon</w:t>
            </w:r>
          </w:p>
        </w:tc>
        <w:tc>
          <w:tcPr>
            <w:tcW w:w="1642" w:type="pct"/>
          </w:tcPr>
          <w:p w14:paraId="7CFB4B5D" w14:textId="77777777" w:rsidR="00F21CAF" w:rsidRPr="005F5266" w:rsidRDefault="00F21CAF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</w:tr>
      <w:tr w:rsidR="00F21CAF" w:rsidRPr="005F5266" w14:paraId="6DC907C4" w14:textId="6C1D7E53" w:rsidTr="00394239">
        <w:tc>
          <w:tcPr>
            <w:tcW w:w="3358" w:type="pct"/>
          </w:tcPr>
          <w:p w14:paraId="0D7090B3" w14:textId="63BEF93B" w:rsidR="00F21CAF" w:rsidRPr="005F5266" w:rsidRDefault="00F21CAF" w:rsidP="00394239">
            <w:pPr>
              <w:pStyle w:val="ListParagraph"/>
              <w:ind w:left="0"/>
              <w:jc w:val="both"/>
              <w:rPr>
                <w:lang w:val="et-EE"/>
              </w:rPr>
            </w:pPr>
            <w:r w:rsidRPr="005F5266">
              <w:rPr>
                <w:rStyle w:val="normaltextrun"/>
                <w:lang w:val="et-EE"/>
              </w:rPr>
              <w:t>Sõjarelvade ja relvasüsteemide tootmine ja müük, sealhulgas, kuid mitte ainult, suurtüki</w:t>
            </w:r>
            <w:r w:rsidR="005F5266" w:rsidRPr="005F5266">
              <w:rPr>
                <w:rStyle w:val="normaltextrun"/>
                <w:lang w:val="et-EE"/>
              </w:rPr>
              <w:t>d</w:t>
            </w:r>
            <w:r w:rsidRPr="005F5266">
              <w:rPr>
                <w:rStyle w:val="normaltextrun"/>
                <w:lang w:val="et-EE"/>
              </w:rPr>
              <w:t>, raketisüsteemi</w:t>
            </w:r>
            <w:r w:rsidR="005F5266" w:rsidRPr="005F5266">
              <w:rPr>
                <w:rStyle w:val="normaltextrun"/>
                <w:lang w:val="et-EE"/>
              </w:rPr>
              <w:t>d</w:t>
            </w:r>
            <w:r w:rsidRPr="005F5266">
              <w:rPr>
                <w:rStyle w:val="normaltextrun"/>
                <w:lang w:val="et-EE"/>
              </w:rPr>
              <w:t>, õhutõrjesüsteemid ja teis</w:t>
            </w:r>
            <w:r w:rsidR="005F5266" w:rsidRPr="005F5266">
              <w:rPr>
                <w:rStyle w:val="normaltextrun"/>
                <w:lang w:val="et-EE"/>
              </w:rPr>
              <w:t>ed</w:t>
            </w:r>
            <w:r w:rsidRPr="005F5266">
              <w:rPr>
                <w:rStyle w:val="normaltextrun"/>
                <w:lang w:val="et-EE"/>
              </w:rPr>
              <w:t xml:space="preserve"> sarnas</w:t>
            </w:r>
            <w:r w:rsidR="005F5266" w:rsidRPr="005F5266">
              <w:rPr>
                <w:rStyle w:val="normaltextrun"/>
                <w:lang w:val="et-EE"/>
              </w:rPr>
              <w:t>ed</w:t>
            </w:r>
            <w:r w:rsidRPr="005F5266">
              <w:rPr>
                <w:rStyle w:val="normaltextrun"/>
                <w:lang w:val="et-EE"/>
              </w:rPr>
              <w:t xml:space="preserve"> relvad</w:t>
            </w:r>
          </w:p>
        </w:tc>
        <w:tc>
          <w:tcPr>
            <w:tcW w:w="1642" w:type="pct"/>
          </w:tcPr>
          <w:p w14:paraId="326BD4A2" w14:textId="77777777" w:rsidR="00F21CAF" w:rsidRPr="005F5266" w:rsidRDefault="00F21CAF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</w:tr>
    </w:tbl>
    <w:p w14:paraId="73EDBA7D" w14:textId="77777777" w:rsidR="00806E65" w:rsidRPr="005F5266" w:rsidRDefault="00806E65" w:rsidP="00394239">
      <w:pPr>
        <w:jc w:val="both"/>
        <w:rPr>
          <w:lang w:val="et-EE"/>
        </w:rPr>
      </w:pPr>
    </w:p>
    <w:p w14:paraId="5489085F" w14:textId="7009DD15" w:rsidR="005F5266" w:rsidRPr="005F5266" w:rsidRDefault="005C7CC3" w:rsidP="005F5266">
      <w:pPr>
        <w:pStyle w:val="ListParagraph"/>
        <w:numPr>
          <w:ilvl w:val="0"/>
          <w:numId w:val="4"/>
        </w:numPr>
        <w:jc w:val="both"/>
        <w:rPr>
          <w:lang w:val="et-EE"/>
        </w:rPr>
      </w:pPr>
      <w:bookmarkStart w:id="1" w:name="_Ref227311468"/>
      <w:r w:rsidRPr="20635B62">
        <w:rPr>
          <w:lang w:val="et-EE"/>
        </w:rPr>
        <w:lastRenderedPageBreak/>
        <w:t>Taotleja aasta</w:t>
      </w:r>
      <w:r w:rsidR="005F5266" w:rsidRPr="20635B62">
        <w:rPr>
          <w:lang w:val="et-EE"/>
        </w:rPr>
        <w:t xml:space="preserve">ne </w:t>
      </w:r>
      <w:r w:rsidRPr="20635B62">
        <w:rPr>
          <w:lang w:val="et-EE"/>
        </w:rPr>
        <w:t xml:space="preserve">käive vähemalt ühes ülal </w:t>
      </w:r>
      <w:r w:rsidR="005F5266" w:rsidRPr="20635B62">
        <w:rPr>
          <w:lang w:val="et-EE"/>
        </w:rPr>
        <w:t>punktis</w:t>
      </w:r>
      <w:r w:rsidRPr="20635B62">
        <w:rPr>
          <w:lang w:val="et-EE"/>
        </w:rPr>
        <w:t xml:space="preserve"> 2 kirjeldatud </w:t>
      </w:r>
      <w:r w:rsidR="005F5266" w:rsidRPr="20635B62">
        <w:rPr>
          <w:lang w:val="et-EE"/>
        </w:rPr>
        <w:t>tegevusalal</w:t>
      </w:r>
      <w:r w:rsidRPr="20635B62">
        <w:rPr>
          <w:lang w:val="et-EE"/>
        </w:rPr>
        <w:t xml:space="preserve"> oli vähemalt 100 miljonit eurot</w:t>
      </w:r>
      <w:r w:rsidR="005F5266" w:rsidRPr="20635B62">
        <w:rPr>
          <w:lang w:val="et-EE"/>
        </w:rPr>
        <w:t xml:space="preserve"> </w:t>
      </w:r>
      <w:r w:rsidR="00C03FBC" w:rsidRPr="20635B62">
        <w:rPr>
          <w:lang w:val="et-EE"/>
        </w:rPr>
        <w:t xml:space="preserve">12 kuu kohta </w:t>
      </w:r>
      <w:r w:rsidR="321A093A" w:rsidRPr="20635B62">
        <w:rPr>
          <w:rFonts w:eastAsiaTheme="minorEastAsia"/>
          <w:lang w:val="et-EE"/>
        </w:rPr>
        <w:t xml:space="preserve">vähemalt ühel viimasest kolmest </w:t>
      </w:r>
      <w:r w:rsidR="005F5266" w:rsidRPr="20635B62">
        <w:rPr>
          <w:rFonts w:eastAsiaTheme="minorEastAsia"/>
          <w:lang w:val="et-EE"/>
        </w:rPr>
        <w:t>majandus</w:t>
      </w:r>
      <w:r w:rsidR="321A093A" w:rsidRPr="20635B62">
        <w:rPr>
          <w:rFonts w:eastAsiaTheme="minorEastAsia"/>
          <w:lang w:val="et-EE"/>
        </w:rPr>
        <w:t xml:space="preserve">aastast enne </w:t>
      </w:r>
      <w:r w:rsidR="005F5266" w:rsidRPr="20635B62">
        <w:rPr>
          <w:rFonts w:eastAsiaTheme="minorEastAsia"/>
          <w:lang w:val="et-EE"/>
        </w:rPr>
        <w:t>valikpakkumise protsessi</w:t>
      </w:r>
      <w:r w:rsidR="321A093A" w:rsidRPr="20635B62">
        <w:rPr>
          <w:rFonts w:eastAsiaTheme="minorEastAsia"/>
          <w:lang w:val="et-EE"/>
        </w:rPr>
        <w:t xml:space="preserve"> algust. Aastakäive vastava</w:t>
      </w:r>
      <w:r w:rsidR="005F5266" w:rsidRPr="20635B62">
        <w:rPr>
          <w:rFonts w:eastAsiaTheme="minorEastAsia"/>
          <w:lang w:val="et-EE"/>
        </w:rPr>
        <w:t>l</w:t>
      </w:r>
      <w:r w:rsidR="321A093A" w:rsidRPr="20635B62">
        <w:rPr>
          <w:rFonts w:eastAsiaTheme="minorEastAsia"/>
          <w:lang w:val="et-EE"/>
        </w:rPr>
        <w:t xml:space="preserve"> tegevus</w:t>
      </w:r>
      <w:r w:rsidR="005F5266" w:rsidRPr="20635B62">
        <w:rPr>
          <w:rFonts w:eastAsiaTheme="minorEastAsia"/>
          <w:lang w:val="et-EE"/>
        </w:rPr>
        <w:t>alal</w:t>
      </w:r>
      <w:r w:rsidR="321A093A" w:rsidRPr="20635B62">
        <w:rPr>
          <w:rFonts w:eastAsiaTheme="minorEastAsia"/>
          <w:lang w:val="et-EE"/>
        </w:rPr>
        <w:t xml:space="preserve"> on toodud allolevas tabelis </w:t>
      </w:r>
      <w:r w:rsidR="000374A6" w:rsidRPr="20635B62">
        <w:rPr>
          <w:lang w:val="et-EE"/>
        </w:rPr>
        <w:t>(muu valuuta kui euro puhul kasutatakse 2</w:t>
      </w:r>
      <w:r w:rsidR="00617319">
        <w:rPr>
          <w:lang w:val="et-EE"/>
        </w:rPr>
        <w:t>2</w:t>
      </w:r>
      <w:r w:rsidR="000374A6" w:rsidRPr="20635B62">
        <w:rPr>
          <w:lang w:val="et-EE"/>
        </w:rPr>
        <w:t>.04.2026 seisuga vahetuskurssi ning numbrid on esitatud eurodes):</w:t>
      </w:r>
      <w:bookmarkEnd w:id="1"/>
    </w:p>
    <w:p w14:paraId="0233709C" w14:textId="28130BEA" w:rsidR="000374A6" w:rsidRPr="005F5266" w:rsidRDefault="000374A6" w:rsidP="005F5266">
      <w:pPr>
        <w:pStyle w:val="ListParagraph"/>
        <w:jc w:val="both"/>
        <w:rPr>
          <w:lang w:val="et-E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8"/>
        <w:gridCol w:w="2274"/>
        <w:gridCol w:w="2274"/>
        <w:gridCol w:w="2274"/>
      </w:tblGrid>
      <w:tr w:rsidR="000374A6" w:rsidRPr="005F5266" w14:paraId="6D6309CD" w14:textId="77777777" w:rsidTr="00394239">
        <w:tc>
          <w:tcPr>
            <w:tcW w:w="1352" w:type="pct"/>
          </w:tcPr>
          <w:p w14:paraId="6EB89CEE" w14:textId="125BE8DA" w:rsidR="000374A6" w:rsidRPr="005F5266" w:rsidRDefault="005F5266" w:rsidP="00394239">
            <w:pPr>
              <w:pStyle w:val="ListParagraph"/>
              <w:ind w:left="0"/>
              <w:jc w:val="both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>Valdkond</w:t>
            </w:r>
          </w:p>
        </w:tc>
        <w:tc>
          <w:tcPr>
            <w:tcW w:w="1216" w:type="pct"/>
          </w:tcPr>
          <w:p w14:paraId="3B693DDD" w14:textId="35FA1555" w:rsidR="000374A6" w:rsidRPr="005F5266" w:rsidRDefault="000374A6" w:rsidP="00394239">
            <w:pPr>
              <w:pStyle w:val="ListParagraph"/>
              <w:ind w:left="0"/>
              <w:jc w:val="both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 xml:space="preserve">Viimane </w:t>
            </w:r>
            <w:r w:rsidR="005F5266" w:rsidRPr="005F5266">
              <w:rPr>
                <w:b/>
                <w:bCs/>
                <w:lang w:val="et-EE"/>
              </w:rPr>
              <w:t>majandus</w:t>
            </w:r>
            <w:r w:rsidRPr="005F5266">
              <w:rPr>
                <w:b/>
                <w:bCs/>
                <w:lang w:val="et-EE"/>
              </w:rPr>
              <w:t>aasta (n)</w:t>
            </w:r>
          </w:p>
        </w:tc>
        <w:tc>
          <w:tcPr>
            <w:tcW w:w="1216" w:type="pct"/>
          </w:tcPr>
          <w:p w14:paraId="4F77143C" w14:textId="13E437D1" w:rsidR="000374A6" w:rsidRPr="005F5266" w:rsidRDefault="005F5266" w:rsidP="00394239">
            <w:pPr>
              <w:pStyle w:val="ListParagraph"/>
              <w:ind w:left="0"/>
              <w:jc w:val="both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>Majandus</w:t>
            </w:r>
            <w:r w:rsidR="000374A6" w:rsidRPr="005F5266">
              <w:rPr>
                <w:b/>
                <w:bCs/>
                <w:lang w:val="et-EE"/>
              </w:rPr>
              <w:t>aasta (n</w:t>
            </w:r>
            <w:r w:rsidRPr="005F5266">
              <w:rPr>
                <w:b/>
                <w:bCs/>
                <w:lang w:val="et-EE"/>
              </w:rPr>
              <w:noBreakHyphen/>
            </w:r>
            <w:r w:rsidR="000374A6" w:rsidRPr="005F5266">
              <w:rPr>
                <w:b/>
                <w:bCs/>
                <w:lang w:val="et-EE"/>
              </w:rPr>
              <w:t>1)</w:t>
            </w:r>
          </w:p>
        </w:tc>
        <w:tc>
          <w:tcPr>
            <w:tcW w:w="1216" w:type="pct"/>
          </w:tcPr>
          <w:p w14:paraId="2650308B" w14:textId="29C71CE1" w:rsidR="000374A6" w:rsidRPr="005F5266" w:rsidRDefault="005F5266" w:rsidP="00394239">
            <w:pPr>
              <w:pStyle w:val="ListParagraph"/>
              <w:ind w:left="0"/>
              <w:jc w:val="both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>Majandus</w:t>
            </w:r>
            <w:r w:rsidR="000374A6" w:rsidRPr="005F5266">
              <w:rPr>
                <w:b/>
                <w:bCs/>
                <w:lang w:val="et-EE"/>
              </w:rPr>
              <w:t>aasta (n</w:t>
            </w:r>
            <w:r w:rsidRPr="005F5266">
              <w:rPr>
                <w:b/>
                <w:bCs/>
                <w:lang w:val="et-EE"/>
              </w:rPr>
              <w:noBreakHyphen/>
            </w:r>
            <w:r w:rsidR="000374A6" w:rsidRPr="005F5266">
              <w:rPr>
                <w:b/>
                <w:bCs/>
                <w:lang w:val="et-EE"/>
              </w:rPr>
              <w:t>2)</w:t>
            </w:r>
          </w:p>
        </w:tc>
      </w:tr>
      <w:tr w:rsidR="000374A6" w:rsidRPr="005F5266" w14:paraId="63669641" w14:textId="77777777" w:rsidTr="00394239">
        <w:tc>
          <w:tcPr>
            <w:tcW w:w="1352" w:type="pct"/>
          </w:tcPr>
          <w:p w14:paraId="0B7BFE5A" w14:textId="5B2BDB56" w:rsidR="000374A6" w:rsidRPr="005F5266" w:rsidRDefault="000374A6" w:rsidP="0039423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lang w:val="et-EE"/>
              </w:rPr>
            </w:pPr>
            <w:r w:rsidRPr="005F5266">
              <w:rPr>
                <w:rStyle w:val="normaltextrun"/>
                <w:rFonts w:asciiTheme="minorHAnsi" w:hAnsiTheme="minorHAnsi"/>
                <w:lang w:val="et-EE"/>
              </w:rPr>
              <w:t>Sõjaliste lõhkeainete tootmine ja müük, sealhulgas, kuid mitte ainult, RDX, HMX, TNT ja teis</w:t>
            </w:r>
            <w:r w:rsidR="005F5266" w:rsidRPr="005F5266">
              <w:rPr>
                <w:rStyle w:val="normaltextrun"/>
                <w:rFonts w:asciiTheme="minorHAnsi" w:hAnsiTheme="minorHAnsi"/>
                <w:lang w:val="et-EE"/>
              </w:rPr>
              <w:t>ed</w:t>
            </w:r>
            <w:r w:rsidRPr="005F5266">
              <w:rPr>
                <w:rStyle w:val="normaltextrun"/>
                <w:rFonts w:asciiTheme="minorHAnsi" w:hAnsiTheme="minorHAnsi"/>
                <w:lang w:val="et-EE"/>
              </w:rPr>
              <w:t xml:space="preserve"> sarnas</w:t>
            </w:r>
            <w:r w:rsidR="005F5266" w:rsidRPr="005F5266">
              <w:rPr>
                <w:rStyle w:val="normaltextrun"/>
                <w:rFonts w:asciiTheme="minorHAnsi" w:hAnsiTheme="minorHAnsi"/>
                <w:lang w:val="et-EE"/>
              </w:rPr>
              <w:t>ed</w:t>
            </w:r>
            <w:r w:rsidRPr="005F5266">
              <w:rPr>
                <w:rStyle w:val="normaltextrun"/>
                <w:rFonts w:asciiTheme="minorHAnsi" w:hAnsiTheme="minorHAnsi"/>
                <w:lang w:val="et-EE"/>
              </w:rPr>
              <w:t xml:space="preserve"> sõjalis</w:t>
            </w:r>
            <w:r w:rsidR="005F5266" w:rsidRPr="005F5266">
              <w:rPr>
                <w:rStyle w:val="normaltextrun"/>
                <w:rFonts w:asciiTheme="minorHAnsi" w:hAnsiTheme="minorHAnsi"/>
                <w:lang w:val="et-EE"/>
              </w:rPr>
              <w:t>ed</w:t>
            </w:r>
            <w:r w:rsidRPr="005F5266">
              <w:rPr>
                <w:rStyle w:val="normaltextrun"/>
                <w:rFonts w:asciiTheme="minorHAnsi" w:hAnsiTheme="minorHAnsi"/>
                <w:lang w:val="et-EE"/>
              </w:rPr>
              <w:t xml:space="preserve"> lõhkeaine</w:t>
            </w:r>
            <w:r w:rsidR="005F5266" w:rsidRPr="005F5266">
              <w:rPr>
                <w:rStyle w:val="normaltextrun"/>
                <w:rFonts w:asciiTheme="minorHAnsi" w:hAnsiTheme="minorHAnsi"/>
                <w:lang w:val="et-EE"/>
              </w:rPr>
              <w:t>d</w:t>
            </w:r>
          </w:p>
        </w:tc>
        <w:tc>
          <w:tcPr>
            <w:tcW w:w="1216" w:type="pct"/>
          </w:tcPr>
          <w:p w14:paraId="2ED9865B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  <w:tc>
          <w:tcPr>
            <w:tcW w:w="1216" w:type="pct"/>
          </w:tcPr>
          <w:p w14:paraId="6A042BB8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  <w:tc>
          <w:tcPr>
            <w:tcW w:w="1216" w:type="pct"/>
          </w:tcPr>
          <w:p w14:paraId="3D0E29CE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</w:tr>
      <w:tr w:rsidR="000374A6" w:rsidRPr="005F5266" w14:paraId="58311A6D" w14:textId="77777777" w:rsidTr="00394239">
        <w:tc>
          <w:tcPr>
            <w:tcW w:w="1352" w:type="pct"/>
          </w:tcPr>
          <w:p w14:paraId="719F3452" w14:textId="57053CC5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  <w:r w:rsidRPr="005F5266">
              <w:rPr>
                <w:rStyle w:val="normaltextrun"/>
                <w:lang w:val="et-EE"/>
              </w:rPr>
              <w:t>Sõjalise laskemoona tootmine ja müük, sealhulgas, kuid mitte ainult, keskmi</w:t>
            </w:r>
            <w:r w:rsidR="005F5266" w:rsidRPr="005F5266">
              <w:rPr>
                <w:rStyle w:val="normaltextrun"/>
                <w:lang w:val="et-EE"/>
              </w:rPr>
              <w:t>n</w:t>
            </w:r>
            <w:r w:rsidRPr="005F5266">
              <w:rPr>
                <w:rStyle w:val="normaltextrun"/>
                <w:lang w:val="et-EE"/>
              </w:rPr>
              <w:t>e ja suurekaliibri</w:t>
            </w:r>
            <w:r w:rsidR="005F5266" w:rsidRPr="005F5266">
              <w:rPr>
                <w:rStyle w:val="normaltextrun"/>
                <w:lang w:val="et-EE"/>
              </w:rPr>
              <w:t>line</w:t>
            </w:r>
            <w:r w:rsidRPr="005F5266">
              <w:rPr>
                <w:rStyle w:val="normaltextrun"/>
                <w:lang w:val="et-EE"/>
              </w:rPr>
              <w:t xml:space="preserve"> laskemoon, raket</w:t>
            </w:r>
            <w:r w:rsidR="005F5266" w:rsidRPr="005F5266">
              <w:rPr>
                <w:rStyle w:val="normaltextrun"/>
                <w:lang w:val="et-EE"/>
              </w:rPr>
              <w:t>id</w:t>
            </w:r>
            <w:r w:rsidRPr="005F5266">
              <w:rPr>
                <w:rStyle w:val="normaltextrun"/>
                <w:lang w:val="et-EE"/>
              </w:rPr>
              <w:t>, miinid, lõhkepead ja muud sarnas</w:t>
            </w:r>
            <w:r w:rsidR="005F5266" w:rsidRPr="005F5266">
              <w:rPr>
                <w:rStyle w:val="normaltextrun"/>
                <w:lang w:val="et-EE"/>
              </w:rPr>
              <w:t>ed</w:t>
            </w:r>
            <w:r w:rsidRPr="005F5266">
              <w:rPr>
                <w:rStyle w:val="normaltextrun"/>
                <w:lang w:val="et-EE"/>
              </w:rPr>
              <w:t xml:space="preserve"> laskemoonad</w:t>
            </w:r>
          </w:p>
        </w:tc>
        <w:tc>
          <w:tcPr>
            <w:tcW w:w="1216" w:type="pct"/>
          </w:tcPr>
          <w:p w14:paraId="03A71F89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  <w:tc>
          <w:tcPr>
            <w:tcW w:w="1216" w:type="pct"/>
          </w:tcPr>
          <w:p w14:paraId="3D7173E8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  <w:tc>
          <w:tcPr>
            <w:tcW w:w="1216" w:type="pct"/>
          </w:tcPr>
          <w:p w14:paraId="44785A68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</w:tr>
      <w:tr w:rsidR="000374A6" w:rsidRPr="005F5266" w14:paraId="18882C14" w14:textId="77777777" w:rsidTr="00394239">
        <w:tc>
          <w:tcPr>
            <w:tcW w:w="1352" w:type="pct"/>
          </w:tcPr>
          <w:p w14:paraId="6ECFAED9" w14:textId="73C4352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  <w:r w:rsidRPr="005F5266">
              <w:rPr>
                <w:rStyle w:val="normaltextrun"/>
                <w:lang w:val="et-EE"/>
              </w:rPr>
              <w:t>Sõjarelvade ja relvasüsteemide tootmine ja müük, sealhulgas, kuid mitte ainult, suurtüki</w:t>
            </w:r>
            <w:r w:rsidR="005F5266" w:rsidRPr="005F5266">
              <w:rPr>
                <w:rStyle w:val="normaltextrun"/>
                <w:lang w:val="et-EE"/>
              </w:rPr>
              <w:t>d</w:t>
            </w:r>
            <w:r w:rsidRPr="005F5266">
              <w:rPr>
                <w:rStyle w:val="normaltextrun"/>
                <w:lang w:val="et-EE"/>
              </w:rPr>
              <w:t>, raketisüsteemid, õhutõrjesüsteemid ja teis</w:t>
            </w:r>
            <w:r w:rsidR="005F5266" w:rsidRPr="005F5266">
              <w:rPr>
                <w:rStyle w:val="normaltextrun"/>
                <w:lang w:val="et-EE"/>
              </w:rPr>
              <w:t>ed</w:t>
            </w:r>
            <w:r w:rsidRPr="005F5266">
              <w:rPr>
                <w:rStyle w:val="normaltextrun"/>
                <w:lang w:val="et-EE"/>
              </w:rPr>
              <w:t xml:space="preserve"> sarnas</w:t>
            </w:r>
            <w:r w:rsidR="005F5266" w:rsidRPr="005F5266">
              <w:rPr>
                <w:rStyle w:val="normaltextrun"/>
                <w:lang w:val="et-EE"/>
              </w:rPr>
              <w:t>ed</w:t>
            </w:r>
            <w:r w:rsidRPr="005F5266">
              <w:rPr>
                <w:rStyle w:val="normaltextrun"/>
                <w:lang w:val="et-EE"/>
              </w:rPr>
              <w:t xml:space="preserve"> relvad</w:t>
            </w:r>
          </w:p>
        </w:tc>
        <w:tc>
          <w:tcPr>
            <w:tcW w:w="1216" w:type="pct"/>
          </w:tcPr>
          <w:p w14:paraId="3073A036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  <w:tc>
          <w:tcPr>
            <w:tcW w:w="1216" w:type="pct"/>
          </w:tcPr>
          <w:p w14:paraId="5ED60850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  <w:tc>
          <w:tcPr>
            <w:tcW w:w="1216" w:type="pct"/>
          </w:tcPr>
          <w:p w14:paraId="5409D6F4" w14:textId="77777777" w:rsidR="000374A6" w:rsidRPr="005F5266" w:rsidRDefault="000374A6" w:rsidP="00394239">
            <w:pPr>
              <w:pStyle w:val="ListParagraph"/>
              <w:ind w:left="0"/>
              <w:jc w:val="both"/>
              <w:rPr>
                <w:lang w:val="et-EE"/>
              </w:rPr>
            </w:pPr>
          </w:p>
        </w:tc>
      </w:tr>
    </w:tbl>
    <w:p w14:paraId="17EE34E2" w14:textId="77777777" w:rsidR="000374A6" w:rsidRPr="005F5266" w:rsidRDefault="000374A6" w:rsidP="003705FE">
      <w:pPr>
        <w:jc w:val="both"/>
        <w:rPr>
          <w:lang w:val="et-EE"/>
        </w:rPr>
      </w:pPr>
    </w:p>
    <w:p w14:paraId="7B80CA5D" w14:textId="78BDC731" w:rsidR="00E148E4" w:rsidRPr="005F5266" w:rsidRDefault="00E148E4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VÕI (selguse huvides, </w:t>
      </w:r>
      <w:r w:rsidR="005F5266" w:rsidRPr="005F5266">
        <w:rPr>
          <w:lang w:val="et-EE"/>
        </w:rPr>
        <w:t>punktides</w:t>
      </w:r>
      <w:r w:rsidRPr="005F5266">
        <w:rPr>
          <w:lang w:val="et-EE"/>
        </w:rPr>
        <w:t xml:space="preserve"> </w:t>
      </w:r>
      <w:r w:rsidRPr="005F5266">
        <w:rPr>
          <w:lang w:val="et-EE"/>
        </w:rPr>
        <w:fldChar w:fldCharType="begin"/>
      </w:r>
      <w:r w:rsidRPr="005F5266">
        <w:rPr>
          <w:lang w:val="et-EE"/>
        </w:rPr>
        <w:instrText xml:space="preserve"> REF _Ref227311468 \r \h </w:instrText>
      </w:r>
      <w:r w:rsidRPr="005F5266">
        <w:rPr>
          <w:lang w:val="et-EE"/>
        </w:rPr>
      </w:r>
      <w:r w:rsidRPr="005F5266">
        <w:rPr>
          <w:lang w:val="et-EE"/>
        </w:rPr>
        <w:fldChar w:fldCharType="separate"/>
      </w:r>
      <w:r w:rsidR="005F5266">
        <w:rPr>
          <w:lang w:val="et-EE"/>
        </w:rPr>
        <w:t>3</w:t>
      </w:r>
      <w:r w:rsidRPr="005F5266">
        <w:rPr>
          <w:lang w:val="et-EE"/>
        </w:rPr>
        <w:fldChar w:fldCharType="end"/>
      </w:r>
      <w:r w:rsidRPr="005F5266">
        <w:rPr>
          <w:lang w:val="et-EE"/>
        </w:rPr>
        <w:t xml:space="preserve"> ja </w:t>
      </w:r>
      <w:r w:rsidRPr="005F5266">
        <w:rPr>
          <w:lang w:val="et-EE"/>
        </w:rPr>
        <w:fldChar w:fldCharType="begin"/>
      </w:r>
      <w:r w:rsidRPr="005F5266">
        <w:rPr>
          <w:lang w:val="et-EE"/>
        </w:rPr>
        <w:instrText xml:space="preserve"> REF _Ref227311470 \r \h </w:instrText>
      </w:r>
      <w:r w:rsidRPr="005F5266">
        <w:rPr>
          <w:lang w:val="et-EE"/>
        </w:rPr>
      </w:r>
      <w:r w:rsidRPr="005F5266">
        <w:rPr>
          <w:lang w:val="et-EE"/>
        </w:rPr>
        <w:fldChar w:fldCharType="separate"/>
      </w:r>
      <w:r w:rsidR="005F5266">
        <w:rPr>
          <w:lang w:val="et-EE"/>
        </w:rPr>
        <w:t>4</w:t>
      </w:r>
      <w:r w:rsidRPr="005F5266">
        <w:rPr>
          <w:lang w:val="et-EE"/>
        </w:rPr>
        <w:fldChar w:fldCharType="end"/>
      </w:r>
      <w:r w:rsidRPr="005F5266">
        <w:rPr>
          <w:lang w:val="et-EE"/>
        </w:rPr>
        <w:t xml:space="preserve"> </w:t>
      </w:r>
      <w:r w:rsidR="005F5266" w:rsidRPr="005F5266">
        <w:rPr>
          <w:lang w:val="et-EE"/>
        </w:rPr>
        <w:t xml:space="preserve">nimetatud kinnitused </w:t>
      </w:r>
      <w:r w:rsidRPr="005F5266">
        <w:rPr>
          <w:lang w:val="et-EE"/>
        </w:rPr>
        <w:t>on alternatiivsed)</w:t>
      </w:r>
    </w:p>
    <w:p w14:paraId="32843803" w14:textId="7730A167" w:rsidR="000374A6" w:rsidRPr="005F5266" w:rsidRDefault="000374A6" w:rsidP="00394239">
      <w:pPr>
        <w:pStyle w:val="ListParagraph"/>
        <w:numPr>
          <w:ilvl w:val="0"/>
          <w:numId w:val="4"/>
        </w:numPr>
        <w:jc w:val="both"/>
        <w:rPr>
          <w:lang w:val="et-EE"/>
        </w:rPr>
      </w:pPr>
      <w:bookmarkStart w:id="2" w:name="_Ref227311470"/>
      <w:r w:rsidRPr="20635B62">
        <w:rPr>
          <w:lang w:val="et-EE"/>
        </w:rPr>
        <w:t xml:space="preserve">Taotleja on investeerinud või kaasanud kapitali vähemalt 50 miljoni euro ulatuses vähemalt ühes </w:t>
      </w:r>
      <w:r w:rsidR="005F5266" w:rsidRPr="20635B62">
        <w:rPr>
          <w:lang w:val="et-EE"/>
        </w:rPr>
        <w:t>punktis 2 kirjeldatud</w:t>
      </w:r>
      <w:r w:rsidRPr="20635B62">
        <w:rPr>
          <w:lang w:val="et-EE"/>
        </w:rPr>
        <w:t xml:space="preserve"> tegevus</w:t>
      </w:r>
      <w:r w:rsidR="005F5266" w:rsidRPr="20635B62">
        <w:rPr>
          <w:lang w:val="et-EE"/>
        </w:rPr>
        <w:t>alal</w:t>
      </w:r>
      <w:r w:rsidRPr="20635B62">
        <w:rPr>
          <w:lang w:val="et-EE"/>
        </w:rPr>
        <w:t xml:space="preserve"> </w:t>
      </w:r>
      <w:r w:rsidR="00ED383D" w:rsidRPr="20635B62">
        <w:rPr>
          <w:lang w:val="et-EE"/>
        </w:rPr>
        <w:t xml:space="preserve">viimase kolme </w:t>
      </w:r>
      <w:r w:rsidR="005F5266" w:rsidRPr="20635B62">
        <w:rPr>
          <w:lang w:val="et-EE"/>
        </w:rPr>
        <w:t>majandus</w:t>
      </w:r>
      <w:r w:rsidR="00ED383D" w:rsidRPr="20635B62">
        <w:rPr>
          <w:lang w:val="et-EE"/>
        </w:rPr>
        <w:t xml:space="preserve">aasta jooksul enne </w:t>
      </w:r>
      <w:r w:rsidR="005F5266" w:rsidRPr="20635B62">
        <w:rPr>
          <w:lang w:val="et-EE"/>
        </w:rPr>
        <w:t>valikpakkumise</w:t>
      </w:r>
      <w:r w:rsidR="00ED383D" w:rsidRPr="20635B62">
        <w:rPr>
          <w:lang w:val="et-EE"/>
        </w:rPr>
        <w:t xml:space="preserve"> protsessi algust. Investeeritud või kaasatud kapital </w:t>
      </w:r>
      <w:r w:rsidR="005F5266" w:rsidRPr="20635B62">
        <w:rPr>
          <w:lang w:val="et-EE"/>
        </w:rPr>
        <w:t>tegevusala</w:t>
      </w:r>
      <w:r w:rsidR="00ED383D" w:rsidRPr="20635B62">
        <w:rPr>
          <w:lang w:val="et-EE"/>
        </w:rPr>
        <w:t xml:space="preserve"> kohta on toodud allolevas tabelis (kui tegemist on muu valuutaga peale euro, kasutatakse 2</w:t>
      </w:r>
      <w:r w:rsidR="00617319">
        <w:rPr>
          <w:lang w:val="et-EE"/>
        </w:rPr>
        <w:t>2</w:t>
      </w:r>
      <w:r w:rsidR="00ED383D" w:rsidRPr="20635B62">
        <w:rPr>
          <w:lang w:val="et-EE"/>
        </w:rPr>
        <w:t>.04.2026 seisuga vahetuskurssi ja numbrid on esitatud eurodes):</w:t>
      </w:r>
      <w:bookmarkEnd w:id="2"/>
      <w:r w:rsidRPr="00617319">
        <w:rPr>
          <w:lang w:val="et-EE"/>
        </w:rPr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0"/>
        <w:gridCol w:w="2611"/>
        <w:gridCol w:w="2149"/>
      </w:tblGrid>
      <w:tr w:rsidR="002E721E" w:rsidRPr="005F5266" w14:paraId="4698D731" w14:textId="77777777" w:rsidTr="005F5266">
        <w:tc>
          <w:tcPr>
            <w:tcW w:w="2455" w:type="pct"/>
          </w:tcPr>
          <w:p w14:paraId="15659798" w14:textId="43C80340" w:rsidR="002E721E" w:rsidRPr="005F5266" w:rsidRDefault="005F5266" w:rsidP="00394239">
            <w:pPr>
              <w:pStyle w:val="ListParagraph"/>
              <w:ind w:left="0"/>
              <w:jc w:val="both"/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lastRenderedPageBreak/>
              <w:t>Valdkond</w:t>
            </w:r>
          </w:p>
        </w:tc>
        <w:tc>
          <w:tcPr>
            <w:tcW w:w="1396" w:type="pct"/>
          </w:tcPr>
          <w:p w14:paraId="75756726" w14:textId="27DD65E2" w:rsidR="002E721E" w:rsidRPr="005F5266" w:rsidRDefault="002E721E" w:rsidP="008F09CC">
            <w:pPr>
              <w:pStyle w:val="ListParagraph"/>
              <w:ind w:left="0"/>
              <w:jc w:val="right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>Investeeringud</w:t>
            </w:r>
          </w:p>
        </w:tc>
        <w:tc>
          <w:tcPr>
            <w:tcW w:w="1149" w:type="pct"/>
          </w:tcPr>
          <w:p w14:paraId="34032134" w14:textId="5744ACA4" w:rsidR="002E721E" w:rsidRPr="005F5266" w:rsidRDefault="002E721E" w:rsidP="008F09CC">
            <w:pPr>
              <w:pStyle w:val="ListParagraph"/>
              <w:ind w:left="0"/>
              <w:jc w:val="right"/>
              <w:rPr>
                <w:b/>
                <w:bCs/>
                <w:lang w:val="et-EE"/>
              </w:rPr>
            </w:pPr>
            <w:r w:rsidRPr="005F5266">
              <w:rPr>
                <w:b/>
                <w:bCs/>
                <w:lang w:val="et-EE"/>
              </w:rPr>
              <w:t>Kaasatud kapital</w:t>
            </w:r>
          </w:p>
        </w:tc>
      </w:tr>
      <w:tr w:rsidR="005F5266" w:rsidRPr="005F5266" w14:paraId="378DA449" w14:textId="77777777" w:rsidTr="005F5266">
        <w:tc>
          <w:tcPr>
            <w:tcW w:w="2455" w:type="pct"/>
          </w:tcPr>
          <w:p w14:paraId="1F463833" w14:textId="672DB72E" w:rsidR="005F5266" w:rsidRPr="005F5266" w:rsidRDefault="005F5266" w:rsidP="005F526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lang w:val="et-EE"/>
              </w:rPr>
            </w:pPr>
            <w:r w:rsidRPr="005F5266">
              <w:rPr>
                <w:rStyle w:val="normaltextrun"/>
                <w:rFonts w:asciiTheme="minorHAnsi" w:hAnsiTheme="minorHAnsi"/>
                <w:lang w:val="et-EE"/>
              </w:rPr>
              <w:t>Sõjaliste lõhkeainete tootmine ja müük, sealhulgas, kuid mitte ainult, RDX, HMX, TNT ja teised sarnased sõjalised lõhkeained</w:t>
            </w:r>
          </w:p>
        </w:tc>
        <w:tc>
          <w:tcPr>
            <w:tcW w:w="1396" w:type="pct"/>
          </w:tcPr>
          <w:p w14:paraId="63E6C1FC" w14:textId="77777777" w:rsidR="005F5266" w:rsidRPr="005F5266" w:rsidRDefault="005F5266" w:rsidP="005F5266">
            <w:pPr>
              <w:pStyle w:val="ListParagraph"/>
              <w:ind w:left="0"/>
              <w:jc w:val="right"/>
              <w:rPr>
                <w:lang w:val="et-EE"/>
              </w:rPr>
            </w:pPr>
          </w:p>
        </w:tc>
        <w:tc>
          <w:tcPr>
            <w:tcW w:w="1149" w:type="pct"/>
          </w:tcPr>
          <w:p w14:paraId="26ACC900" w14:textId="77777777" w:rsidR="005F5266" w:rsidRPr="005F5266" w:rsidRDefault="005F5266" w:rsidP="005F5266">
            <w:pPr>
              <w:pStyle w:val="ListParagraph"/>
              <w:ind w:left="0"/>
              <w:jc w:val="right"/>
              <w:rPr>
                <w:lang w:val="et-EE"/>
              </w:rPr>
            </w:pPr>
          </w:p>
        </w:tc>
      </w:tr>
      <w:tr w:rsidR="005F5266" w:rsidRPr="005F5266" w14:paraId="0D10BC89" w14:textId="77777777" w:rsidTr="005F5266">
        <w:tc>
          <w:tcPr>
            <w:tcW w:w="2455" w:type="pct"/>
          </w:tcPr>
          <w:p w14:paraId="4FE44F13" w14:textId="301C32DF" w:rsidR="005F5266" w:rsidRPr="005F5266" w:rsidRDefault="005F5266" w:rsidP="005F5266">
            <w:pPr>
              <w:pStyle w:val="ListParagraph"/>
              <w:ind w:left="0"/>
              <w:jc w:val="both"/>
              <w:rPr>
                <w:lang w:val="et-EE"/>
              </w:rPr>
            </w:pPr>
            <w:r w:rsidRPr="005F5266">
              <w:rPr>
                <w:rStyle w:val="normaltextrun"/>
                <w:lang w:val="et-EE"/>
              </w:rPr>
              <w:t>Sõjalise laskemoona tootmine ja müük, sealhulgas, kuid mitte ainult, keskmine ja suurekaliibriline laskemoon, raketid, miinid, lõhkepead ja muud sarnased laskemoonad</w:t>
            </w:r>
          </w:p>
        </w:tc>
        <w:tc>
          <w:tcPr>
            <w:tcW w:w="1396" w:type="pct"/>
          </w:tcPr>
          <w:p w14:paraId="04BA5B7B" w14:textId="77777777" w:rsidR="005F5266" w:rsidRPr="005F5266" w:rsidRDefault="005F5266" w:rsidP="005F5266">
            <w:pPr>
              <w:pStyle w:val="ListParagraph"/>
              <w:ind w:left="0"/>
              <w:jc w:val="right"/>
              <w:rPr>
                <w:lang w:val="et-EE"/>
              </w:rPr>
            </w:pPr>
          </w:p>
        </w:tc>
        <w:tc>
          <w:tcPr>
            <w:tcW w:w="1149" w:type="pct"/>
          </w:tcPr>
          <w:p w14:paraId="7C542D69" w14:textId="77777777" w:rsidR="005F5266" w:rsidRPr="005F5266" w:rsidRDefault="005F5266" w:rsidP="005F5266">
            <w:pPr>
              <w:pStyle w:val="ListParagraph"/>
              <w:ind w:left="0"/>
              <w:jc w:val="right"/>
              <w:rPr>
                <w:lang w:val="et-EE"/>
              </w:rPr>
            </w:pPr>
          </w:p>
        </w:tc>
      </w:tr>
      <w:tr w:rsidR="005F5266" w:rsidRPr="005F5266" w14:paraId="047416B1" w14:textId="77777777" w:rsidTr="005F5266">
        <w:tc>
          <w:tcPr>
            <w:tcW w:w="2455" w:type="pct"/>
          </w:tcPr>
          <w:p w14:paraId="561D8F43" w14:textId="3DD0F67D" w:rsidR="005F5266" w:rsidRPr="005F5266" w:rsidRDefault="005F5266" w:rsidP="005F5266">
            <w:pPr>
              <w:pStyle w:val="ListParagraph"/>
              <w:ind w:left="0"/>
              <w:jc w:val="both"/>
              <w:rPr>
                <w:lang w:val="et-EE"/>
              </w:rPr>
            </w:pPr>
            <w:r w:rsidRPr="005F5266">
              <w:rPr>
                <w:rStyle w:val="normaltextrun"/>
                <w:lang w:val="et-EE"/>
              </w:rPr>
              <w:t>Sõjarelvade ja relvasüsteemide tootmine ja müük, sealhulgas, kuid mitte ainult, suurtükid, raketisüsteemid, õhutõrjesüsteemid ja teised sarnased relvad</w:t>
            </w:r>
          </w:p>
        </w:tc>
        <w:tc>
          <w:tcPr>
            <w:tcW w:w="1396" w:type="pct"/>
          </w:tcPr>
          <w:p w14:paraId="470DDFB8" w14:textId="77777777" w:rsidR="005F5266" w:rsidRPr="005F5266" w:rsidRDefault="005F5266" w:rsidP="005F5266">
            <w:pPr>
              <w:pStyle w:val="ListParagraph"/>
              <w:ind w:left="0"/>
              <w:jc w:val="right"/>
              <w:rPr>
                <w:lang w:val="et-EE"/>
              </w:rPr>
            </w:pPr>
          </w:p>
        </w:tc>
        <w:tc>
          <w:tcPr>
            <w:tcW w:w="1149" w:type="pct"/>
          </w:tcPr>
          <w:p w14:paraId="7A4C82A3" w14:textId="77777777" w:rsidR="005F5266" w:rsidRPr="005F5266" w:rsidRDefault="005F5266" w:rsidP="005F5266">
            <w:pPr>
              <w:pStyle w:val="ListParagraph"/>
              <w:ind w:left="0"/>
              <w:jc w:val="right"/>
              <w:rPr>
                <w:lang w:val="et-EE"/>
              </w:rPr>
            </w:pPr>
          </w:p>
        </w:tc>
      </w:tr>
    </w:tbl>
    <w:p w14:paraId="2E953181" w14:textId="0009EF39" w:rsidR="005F5266" w:rsidRPr="005F5266" w:rsidRDefault="005F5266" w:rsidP="005F526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T</w:t>
      </w:r>
      <w:r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 xml:space="preserve">aotleja, isikud, kellel on tema suhtes valitsev mõju, tema nõukogu ja juhatuse liikmed ja prokuristid ning tema tegelikud kasusaajad on </w:t>
      </w:r>
      <w:r w:rsidR="00C03FBC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 xml:space="preserve">üksnes </w:t>
      </w:r>
      <w:r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Euroopa Liidu, Euroopa Majanduspiirkonna lepinguriigi, Põhja-Atlandi Lepingu Organisatsiooni (NATO) või Majandusliku Koostöö ja Arengu Organisatsiooni (OECD) liikmesriigi kodanikud või seal asutatud ja registreeritud äriühingud</w:t>
      </w:r>
      <w:r w:rsidR="003215A5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;</w:t>
      </w:r>
    </w:p>
    <w:p w14:paraId="2C98DDBC" w14:textId="45F4789F" w:rsidR="005F5266" w:rsidRPr="005F5266" w:rsidRDefault="005F5266" w:rsidP="005F526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T</w:t>
      </w:r>
      <w:r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 xml:space="preserve">aotleja, isikud, kellel on tema suhtes valitsev mõju, tema nõukogu või juhatuse liikmed või prokuristid ega tema tegelikud kasusaajad ei ole sanktsioonide, korruptsioonivastaste meetmete, rahapesu tõkestamise ega muude regulatiivsete piirangute subjektiks, </w:t>
      </w:r>
      <w:r w:rsidR="00153D36" w:rsidRPr="00153D3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mille subjektiks olemine oleks takistuseks valikpakkumise menetluses osalemisel</w:t>
      </w:r>
      <w:r w:rsidR="003215A5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;</w:t>
      </w:r>
    </w:p>
    <w:p w14:paraId="7F7F2DCA" w14:textId="2547626D" w:rsidR="005F5266" w:rsidRPr="005F5266" w:rsidRDefault="005F5266" w:rsidP="005F526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T</w:t>
      </w:r>
      <w:r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aotleja ei ole pankrotis ega likvideerimisel, tema äritegevus ei ole peatatud ning ta ei ole muus sellesarnases olukorras tema asukohamaa õigusaktide kohaselt</w:t>
      </w:r>
      <w:r w:rsidR="00043118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.</w:t>
      </w:r>
    </w:p>
    <w:p w14:paraId="4D0C9CF0" w14:textId="58F2229C" w:rsidR="005F5266" w:rsidRPr="005F5266" w:rsidRDefault="005F5266" w:rsidP="005F5266">
      <w:pPr>
        <w:pStyle w:val="paragraph"/>
        <w:numPr>
          <w:ilvl w:val="0"/>
          <w:numId w:val="4"/>
        </w:numPr>
        <w:spacing w:after="0"/>
        <w:jc w:val="both"/>
        <w:textAlignment w:val="baseline"/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T</w:t>
      </w:r>
      <w:r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aotlejal ei ole riiklike maksude maksuvõlga</w:t>
      </w:r>
      <w:r w:rsidR="003215A5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;</w:t>
      </w:r>
    </w:p>
    <w:p w14:paraId="353EBC72" w14:textId="0DA1300E" w:rsidR="0057561E" w:rsidRPr="005F5266" w:rsidRDefault="005F5266" w:rsidP="005F5266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T</w:t>
      </w:r>
      <w:r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 xml:space="preserve">aotlejal, isikutel, kellel on tema suhtes valitsev mõju, tema nõukogu või juhatuse liikmel, prokuristil ega tema tegelikul kasusaajal ei ole kehtivat kriminaalkaristust ning </w:t>
      </w:r>
      <w:r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T</w:t>
      </w:r>
      <w:r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aotlejale teadaolevalt ei eksisteeri ühegi eelnimetatud isiku suhtes käimasolevat kriminaalmenetlust</w:t>
      </w:r>
      <w:r w:rsidR="0057561E" w:rsidRPr="005F5266"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  <w:t>.</w:t>
      </w:r>
    </w:p>
    <w:p w14:paraId="7311072D" w14:textId="77777777" w:rsidR="00F54E3F" w:rsidRPr="005F5266" w:rsidRDefault="00F54E3F" w:rsidP="003942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HAnsi" w:hAnsiTheme="minorHAnsi" w:cstheme="minorBidi"/>
          <w:kern w:val="2"/>
          <w:lang w:val="et-EE"/>
          <w14:ligatures w14:val="standardContextual"/>
        </w:rPr>
      </w:pPr>
    </w:p>
    <w:p w14:paraId="7B2C7BFC" w14:textId="1C4F2D75" w:rsidR="0057561E" w:rsidRPr="005F5266" w:rsidRDefault="00F54E3F" w:rsidP="0039423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kern w:val="2"/>
          <w:lang w:val="et-EE"/>
          <w14:ligatures w14:val="standardContextual"/>
        </w:rPr>
      </w:pPr>
      <w:r w:rsidRPr="005F5266">
        <w:rPr>
          <w:rFonts w:asciiTheme="minorHAnsi" w:eastAsiaTheme="minorEastAsia" w:hAnsiTheme="minorHAnsi" w:cstheme="minorBidi"/>
          <w:kern w:val="2"/>
          <w:lang w:val="et-EE"/>
          <w14:ligatures w14:val="standardContextual"/>
        </w:rPr>
        <w:t xml:space="preserve">Taotleja kinnitab, et on protsessidokumentidega tutvunud, mõistab menetlusreegleid ning </w:t>
      </w:r>
      <w:r w:rsidR="005F5266">
        <w:rPr>
          <w:rFonts w:asciiTheme="minorHAnsi" w:eastAsiaTheme="minorEastAsia" w:hAnsiTheme="minorHAnsi" w:cstheme="minorBidi"/>
          <w:kern w:val="2"/>
          <w:lang w:val="et-EE"/>
          <w14:ligatures w14:val="standardContextual"/>
        </w:rPr>
        <w:t>taotluse esitamisel</w:t>
      </w:r>
      <w:r w:rsidRPr="005F5266">
        <w:rPr>
          <w:rFonts w:asciiTheme="minorHAnsi" w:eastAsiaTheme="minorEastAsia" w:hAnsiTheme="minorHAnsi" w:cstheme="minorBidi"/>
          <w:kern w:val="2"/>
          <w:lang w:val="et-EE"/>
          <w14:ligatures w14:val="standardContextual"/>
        </w:rPr>
        <w:t xml:space="preserve"> kohustub neid järgima.</w:t>
      </w:r>
    </w:p>
    <w:p w14:paraId="4211DA6C" w14:textId="77777777" w:rsidR="00806E65" w:rsidRPr="005F5266" w:rsidRDefault="00806E65" w:rsidP="00394239">
      <w:pPr>
        <w:jc w:val="both"/>
        <w:rPr>
          <w:lang w:val="et-EE"/>
        </w:rPr>
      </w:pPr>
    </w:p>
    <w:p w14:paraId="1D650D86" w14:textId="70C982AF" w:rsidR="00806E65" w:rsidRPr="005F5266" w:rsidRDefault="001E4E2A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Allkiri: </w:t>
      </w:r>
    </w:p>
    <w:p w14:paraId="62B1734D" w14:textId="1C8FDF3C" w:rsidR="001E4E2A" w:rsidRPr="005F5266" w:rsidRDefault="001E4E2A" w:rsidP="00394239">
      <w:pPr>
        <w:jc w:val="both"/>
        <w:rPr>
          <w:lang w:val="et-EE"/>
        </w:rPr>
      </w:pPr>
      <w:r w:rsidRPr="005F5266">
        <w:rPr>
          <w:lang w:val="et-EE"/>
        </w:rPr>
        <w:t>Esindaja täisnimi:</w:t>
      </w:r>
    </w:p>
    <w:p w14:paraId="1996278C" w14:textId="5BB4EFB2" w:rsidR="001E4E2A" w:rsidRPr="005F5266" w:rsidRDefault="001E4E2A" w:rsidP="00394239">
      <w:pPr>
        <w:jc w:val="both"/>
        <w:rPr>
          <w:lang w:val="et-EE"/>
        </w:rPr>
      </w:pPr>
      <w:r w:rsidRPr="005F5266">
        <w:rPr>
          <w:lang w:val="et-EE"/>
        </w:rPr>
        <w:t>Roll:</w:t>
      </w:r>
    </w:p>
    <w:p w14:paraId="18E88BDA" w14:textId="1A060CA0" w:rsidR="001E4E2A" w:rsidRPr="005F5266" w:rsidRDefault="001E4E2A" w:rsidP="00394239">
      <w:pPr>
        <w:jc w:val="both"/>
        <w:rPr>
          <w:lang w:val="et-EE"/>
        </w:rPr>
      </w:pPr>
      <w:r w:rsidRPr="005F5266">
        <w:rPr>
          <w:lang w:val="et-EE"/>
        </w:rPr>
        <w:t xml:space="preserve">Taotleja nimi: </w:t>
      </w:r>
    </w:p>
    <w:sectPr w:rsidR="001E4E2A" w:rsidRPr="005F5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68E7"/>
    <w:multiLevelType w:val="multilevel"/>
    <w:tmpl w:val="74229B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F235A"/>
    <w:multiLevelType w:val="hybridMultilevel"/>
    <w:tmpl w:val="D6901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189E"/>
    <w:multiLevelType w:val="multilevel"/>
    <w:tmpl w:val="4E9AC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032F8C"/>
    <w:multiLevelType w:val="multilevel"/>
    <w:tmpl w:val="81B6C680"/>
    <w:lvl w:ilvl="0">
      <w:start w:val="1"/>
      <w:numFmt w:val="decimal"/>
      <w:lvlText w:val="%1."/>
      <w:lvlJc w:val="left"/>
      <w:pPr>
        <w:tabs>
          <w:tab w:val="num" w:pos="-420"/>
        </w:tabs>
        <w:ind w:left="-420" w:hanging="360"/>
      </w:pPr>
    </w:lvl>
    <w:lvl w:ilvl="1" w:tentative="1">
      <w:start w:val="1"/>
      <w:numFmt w:val="decimal"/>
      <w:lvlText w:val="%2."/>
      <w:lvlJc w:val="left"/>
      <w:pPr>
        <w:tabs>
          <w:tab w:val="num" w:pos="300"/>
        </w:tabs>
        <w:ind w:left="300" w:hanging="360"/>
      </w:pPr>
    </w:lvl>
    <w:lvl w:ilvl="2" w:tentative="1">
      <w:start w:val="1"/>
      <w:numFmt w:val="decimal"/>
      <w:lvlText w:val="%3."/>
      <w:lvlJc w:val="left"/>
      <w:pPr>
        <w:tabs>
          <w:tab w:val="num" w:pos="1020"/>
        </w:tabs>
        <w:ind w:left="1020" w:hanging="360"/>
      </w:pPr>
    </w:lvl>
    <w:lvl w:ilvl="3" w:tentative="1">
      <w:start w:val="1"/>
      <w:numFmt w:val="decimal"/>
      <w:lvlText w:val="%4."/>
      <w:lvlJc w:val="left"/>
      <w:pPr>
        <w:tabs>
          <w:tab w:val="num" w:pos="1740"/>
        </w:tabs>
        <w:ind w:left="1740" w:hanging="360"/>
      </w:pPr>
    </w:lvl>
    <w:lvl w:ilvl="4" w:tentative="1">
      <w:start w:val="1"/>
      <w:numFmt w:val="decimal"/>
      <w:lvlText w:val="%5."/>
      <w:lvlJc w:val="left"/>
      <w:pPr>
        <w:tabs>
          <w:tab w:val="num" w:pos="2460"/>
        </w:tabs>
        <w:ind w:left="2460" w:hanging="360"/>
      </w:pPr>
    </w:lvl>
    <w:lvl w:ilvl="5" w:tentative="1">
      <w:start w:val="1"/>
      <w:numFmt w:val="decimal"/>
      <w:lvlText w:val="%6."/>
      <w:lvlJc w:val="left"/>
      <w:pPr>
        <w:tabs>
          <w:tab w:val="num" w:pos="3180"/>
        </w:tabs>
        <w:ind w:left="3180" w:hanging="360"/>
      </w:pPr>
    </w:lvl>
    <w:lvl w:ilvl="6" w:tentative="1">
      <w:start w:val="1"/>
      <w:numFmt w:val="decimal"/>
      <w:lvlText w:val="%7."/>
      <w:lvlJc w:val="left"/>
      <w:pPr>
        <w:tabs>
          <w:tab w:val="num" w:pos="3900"/>
        </w:tabs>
        <w:ind w:left="3900" w:hanging="360"/>
      </w:pPr>
    </w:lvl>
    <w:lvl w:ilvl="7" w:tentative="1">
      <w:start w:val="1"/>
      <w:numFmt w:val="decimal"/>
      <w:lvlText w:val="%8."/>
      <w:lvlJc w:val="left"/>
      <w:pPr>
        <w:tabs>
          <w:tab w:val="num" w:pos="4620"/>
        </w:tabs>
        <w:ind w:left="4620" w:hanging="360"/>
      </w:pPr>
    </w:lvl>
    <w:lvl w:ilvl="8" w:tentative="1">
      <w:start w:val="1"/>
      <w:numFmt w:val="decimal"/>
      <w:lvlText w:val="%9."/>
      <w:lvlJc w:val="left"/>
      <w:pPr>
        <w:tabs>
          <w:tab w:val="num" w:pos="5340"/>
        </w:tabs>
        <w:ind w:left="5340" w:hanging="360"/>
      </w:pPr>
    </w:lvl>
  </w:abstractNum>
  <w:abstractNum w:abstractNumId="4" w15:restartNumberingAfterBreak="0">
    <w:nsid w:val="426E2921"/>
    <w:multiLevelType w:val="multilevel"/>
    <w:tmpl w:val="092881F8"/>
    <w:lvl w:ilvl="0">
      <w:start w:val="4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5" w15:restartNumberingAfterBreak="0">
    <w:nsid w:val="5BD37D61"/>
    <w:multiLevelType w:val="multilevel"/>
    <w:tmpl w:val="7C7C0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159DE"/>
    <w:multiLevelType w:val="multilevel"/>
    <w:tmpl w:val="B37C2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D774CD"/>
    <w:multiLevelType w:val="multilevel"/>
    <w:tmpl w:val="7BD8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296650">
    <w:abstractNumId w:val="7"/>
  </w:num>
  <w:num w:numId="2" w16cid:durableId="1209797980">
    <w:abstractNumId w:val="3"/>
  </w:num>
  <w:num w:numId="3" w16cid:durableId="1568420973">
    <w:abstractNumId w:val="5"/>
  </w:num>
  <w:num w:numId="4" w16cid:durableId="1744141077">
    <w:abstractNumId w:val="1"/>
  </w:num>
  <w:num w:numId="5" w16cid:durableId="1771584287">
    <w:abstractNumId w:val="2"/>
  </w:num>
  <w:num w:numId="6" w16cid:durableId="2063866894">
    <w:abstractNumId w:val="6"/>
  </w:num>
  <w:num w:numId="7" w16cid:durableId="810483797">
    <w:abstractNumId w:val="0"/>
  </w:num>
  <w:num w:numId="8" w16cid:durableId="900411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000"/>
    <w:rsid w:val="000374A6"/>
    <w:rsid w:val="00043118"/>
    <w:rsid w:val="00145452"/>
    <w:rsid w:val="00153D36"/>
    <w:rsid w:val="00157F3F"/>
    <w:rsid w:val="001E434D"/>
    <w:rsid w:val="001E4E2A"/>
    <w:rsid w:val="002E721E"/>
    <w:rsid w:val="003215A5"/>
    <w:rsid w:val="003451C3"/>
    <w:rsid w:val="003705FE"/>
    <w:rsid w:val="00374A9F"/>
    <w:rsid w:val="00394239"/>
    <w:rsid w:val="003D271E"/>
    <w:rsid w:val="003D711E"/>
    <w:rsid w:val="00497D39"/>
    <w:rsid w:val="004C4E70"/>
    <w:rsid w:val="00513374"/>
    <w:rsid w:val="00556D19"/>
    <w:rsid w:val="0057561E"/>
    <w:rsid w:val="005830B0"/>
    <w:rsid w:val="00596B27"/>
    <w:rsid w:val="005C7CC3"/>
    <w:rsid w:val="005D4E7B"/>
    <w:rsid w:val="005F5266"/>
    <w:rsid w:val="00617319"/>
    <w:rsid w:val="00660D09"/>
    <w:rsid w:val="006A4900"/>
    <w:rsid w:val="006F584C"/>
    <w:rsid w:val="0078357C"/>
    <w:rsid w:val="007A7EE3"/>
    <w:rsid w:val="007B349A"/>
    <w:rsid w:val="00806E65"/>
    <w:rsid w:val="00872D76"/>
    <w:rsid w:val="00881508"/>
    <w:rsid w:val="00895822"/>
    <w:rsid w:val="008F09CC"/>
    <w:rsid w:val="00933C99"/>
    <w:rsid w:val="009B2812"/>
    <w:rsid w:val="009B5314"/>
    <w:rsid w:val="009C1000"/>
    <w:rsid w:val="00A65AB5"/>
    <w:rsid w:val="00A82C69"/>
    <w:rsid w:val="00B75B9B"/>
    <w:rsid w:val="00B975F5"/>
    <w:rsid w:val="00BB6C85"/>
    <w:rsid w:val="00C03FBC"/>
    <w:rsid w:val="00C25A4F"/>
    <w:rsid w:val="00C97401"/>
    <w:rsid w:val="00CC4B04"/>
    <w:rsid w:val="00CC7DCB"/>
    <w:rsid w:val="00CE1C69"/>
    <w:rsid w:val="00D00850"/>
    <w:rsid w:val="00D87C2A"/>
    <w:rsid w:val="00D96B5F"/>
    <w:rsid w:val="00DA203B"/>
    <w:rsid w:val="00DA3207"/>
    <w:rsid w:val="00DF29B1"/>
    <w:rsid w:val="00E148E4"/>
    <w:rsid w:val="00E537DD"/>
    <w:rsid w:val="00ED383D"/>
    <w:rsid w:val="00F21CAF"/>
    <w:rsid w:val="00F40D7F"/>
    <w:rsid w:val="00F54E3F"/>
    <w:rsid w:val="00F82474"/>
    <w:rsid w:val="00FD5489"/>
    <w:rsid w:val="0153A968"/>
    <w:rsid w:val="03BBEB53"/>
    <w:rsid w:val="0437A750"/>
    <w:rsid w:val="05F0FBDB"/>
    <w:rsid w:val="0E878F45"/>
    <w:rsid w:val="0FBFFFD5"/>
    <w:rsid w:val="14B62D7C"/>
    <w:rsid w:val="1529B0AD"/>
    <w:rsid w:val="15B1FE41"/>
    <w:rsid w:val="193C42A0"/>
    <w:rsid w:val="1B1B5ED3"/>
    <w:rsid w:val="20635B62"/>
    <w:rsid w:val="2651A859"/>
    <w:rsid w:val="2C0C877E"/>
    <w:rsid w:val="2D7489D3"/>
    <w:rsid w:val="321A093A"/>
    <w:rsid w:val="33588023"/>
    <w:rsid w:val="3626AB72"/>
    <w:rsid w:val="3CF156DE"/>
    <w:rsid w:val="4021287D"/>
    <w:rsid w:val="43755F91"/>
    <w:rsid w:val="4857FFE4"/>
    <w:rsid w:val="49E33EE0"/>
    <w:rsid w:val="4B752966"/>
    <w:rsid w:val="4CC0DB6B"/>
    <w:rsid w:val="4D428F4D"/>
    <w:rsid w:val="4F64D62C"/>
    <w:rsid w:val="50A65200"/>
    <w:rsid w:val="52F421BD"/>
    <w:rsid w:val="534EAD39"/>
    <w:rsid w:val="5453818F"/>
    <w:rsid w:val="553F8B09"/>
    <w:rsid w:val="57CC5575"/>
    <w:rsid w:val="57D21E7B"/>
    <w:rsid w:val="60312319"/>
    <w:rsid w:val="6196CFC8"/>
    <w:rsid w:val="62BF26CF"/>
    <w:rsid w:val="62C811CC"/>
    <w:rsid w:val="64EAEFEC"/>
    <w:rsid w:val="67633B6D"/>
    <w:rsid w:val="680AE08B"/>
    <w:rsid w:val="6B5CA431"/>
    <w:rsid w:val="6C65C2F3"/>
    <w:rsid w:val="6DC20DFC"/>
    <w:rsid w:val="6F07FE46"/>
    <w:rsid w:val="731178FD"/>
    <w:rsid w:val="73A732FD"/>
    <w:rsid w:val="77C079C1"/>
    <w:rsid w:val="78B0E2F2"/>
    <w:rsid w:val="7A1EE238"/>
    <w:rsid w:val="7BAF1A2E"/>
    <w:rsid w:val="7CC22501"/>
    <w:rsid w:val="7D90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EF51"/>
  <w15:chartTrackingRefBased/>
  <w15:docId w15:val="{3AA44298-3431-403B-9353-53E6B376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0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0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0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0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0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0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0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0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0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0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0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06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06E65"/>
  </w:style>
  <w:style w:type="character" w:customStyle="1" w:styleId="apple-converted-space">
    <w:name w:val="apple-converted-space"/>
    <w:basedOn w:val="DefaultParagraphFont"/>
    <w:rsid w:val="00806E65"/>
  </w:style>
  <w:style w:type="character" w:customStyle="1" w:styleId="eop">
    <w:name w:val="eop"/>
    <w:basedOn w:val="DefaultParagraphFont"/>
    <w:rsid w:val="00806E65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C4E7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F526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3_ xmlns="1e8fd5e3-d5de-4b2b-9223-c54c6e6dddc0" xsi:nil="true"/>
    <TaxCatchAll xmlns="412dd1bc-5fa4-4683-8a72-ca9ac7fbc3b0" xsi:nil="true"/>
    <lcf76f155ced4ddcb4097134ff3c332f xmlns="1e8fd5e3-d5de-4b2b-9223-c54c6e6ddd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6C9A033D90A4FA2F6809806A95C53" ma:contentTypeVersion="14" ma:contentTypeDescription="Create a new document." ma:contentTypeScope="" ma:versionID="5260891e83265f15d4dfc10f63887461">
  <xsd:schema xmlns:xsd="http://www.w3.org/2001/XMLSchema" xmlns:xs="http://www.w3.org/2001/XMLSchema" xmlns:p="http://schemas.microsoft.com/office/2006/metadata/properties" xmlns:ns2="1e8fd5e3-d5de-4b2b-9223-c54c6e6dddc0" xmlns:ns3="412dd1bc-5fa4-4683-8a72-ca9ac7fbc3b0" targetNamespace="http://schemas.microsoft.com/office/2006/metadata/properties" ma:root="true" ma:fieldsID="17c4a6f3d0da99b5a63338cd460d0a83" ns2:_="" ns3:_="">
    <xsd:import namespace="1e8fd5e3-d5de-4b2b-9223-c54c6e6dddc0"/>
    <xsd:import namespace="412dd1bc-5fa4-4683-8a72-ca9ac7fbc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fd5e3-d5de-4b2b-9223-c54c6e6dd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b6d009-6a2d-4a55-aa0f-967c62c509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023_" ma:index="20" nillable="true" ma:displayName="Order" ma:indexed="true" ma:internalName="_x0023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dd1bc-5fa4-4683-8a72-ca9ac7fbc3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16e906-ee52-4959-8187-021612d5a23d}" ma:internalName="TaxCatchAll" ma:showField="CatchAllData" ma:web="412dd1bc-5fa4-4683-8a72-ca9ac7fbc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69113-1E4C-4A62-A6C5-0B0696CF8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7F9AF-FA5B-4611-A6F6-C238DC63C2A8}">
  <ds:schemaRefs>
    <ds:schemaRef ds:uri="http://schemas.microsoft.com/office/2006/metadata/properties"/>
    <ds:schemaRef ds:uri="http://schemas.microsoft.com/office/infopath/2007/PartnerControls"/>
    <ds:schemaRef ds:uri="1e8fd5e3-d5de-4b2b-9223-c54c6e6dddc0"/>
    <ds:schemaRef ds:uri="412dd1bc-5fa4-4683-8a72-ca9ac7fbc3b0"/>
  </ds:schemaRefs>
</ds:datastoreItem>
</file>

<file path=customXml/itemProps3.xml><?xml version="1.0" encoding="utf-8"?>
<ds:datastoreItem xmlns:ds="http://schemas.openxmlformats.org/officeDocument/2006/customXml" ds:itemID="{3F92AC0D-096D-4BB2-BAF4-BA9BD912D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fd5e3-d5de-4b2b-9223-c54c6e6dddc0"/>
    <ds:schemaRef ds:uri="412dd1bc-5fa4-4683-8a72-ca9ac7fbc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3578</Characters>
  <Application>Microsoft Office Word</Application>
  <DocSecurity>0</DocSecurity>
  <Lines>58</Lines>
  <Paragraphs>28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Reimo Räni</dc:creator>
  <cp:keywords/>
  <dc:description/>
  <cp:lastModifiedBy>Randel Veerits</cp:lastModifiedBy>
  <cp:revision>7</cp:revision>
  <dcterms:created xsi:type="dcterms:W3CDTF">2026-04-17T12:42:00Z</dcterms:created>
  <dcterms:modified xsi:type="dcterms:W3CDTF">2026-04-22T09:49:00Z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0x01010070C6C9A033D90A4FA2F6809806A95C53</vt:lpwstr>
  </property>
  <property fmtid="{D5CDD505-2E9C-101B-9397-08002B2CF9AE}" pid="3" name="MediaServiceImageTags">
    <vt:lpwstr/>
  </property>
</Properties>
</file>